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21066" w14:textId="77777777" w:rsidR="000F4208" w:rsidRDefault="000F4208">
      <w:pPr>
        <w:pStyle w:val="NormalWeb"/>
        <w:spacing w:line="20" w:lineRule="atLeast"/>
        <w:rPr>
          <w:sz w:val="2"/>
        </w:rPr>
        <w:sectPr w:rsidR="000F4208">
          <w:headerReference w:type="default" r:id="rId7"/>
          <w:footerReference w:type="default" r:id="rId8"/>
          <w:pgSz w:w="11907" w:h="16840"/>
          <w:pgMar w:top="2835" w:right="1701" w:bottom="1440" w:left="1701" w:header="567" w:footer="0" w:gutter="0"/>
          <w:cols w:space="708"/>
          <w:docGrid w:linePitch="360"/>
        </w:sectPr>
      </w:pPr>
    </w:p>
    <w:tbl>
      <w:tblPr>
        <w:tblStyle w:val="TableNormalWeb"/>
        <w:tblW w:w="5000" w:type="pct"/>
        <w:tblBorders>
          <w:top w:val="nil"/>
          <w:left w:val="nil"/>
          <w:bottom w:val="nil"/>
          <w:right w:val="nil"/>
        </w:tblBorders>
        <w:tblCellMar>
          <w:left w:w="0" w:type="dxa"/>
          <w:right w:w="0" w:type="dxa"/>
        </w:tblCellMar>
        <w:tblLook w:val="04A0" w:firstRow="1" w:lastRow="0" w:firstColumn="1" w:lastColumn="0" w:noHBand="0" w:noVBand="1"/>
      </w:tblPr>
      <w:tblGrid>
        <w:gridCol w:w="6529"/>
        <w:gridCol w:w="4352"/>
      </w:tblGrid>
      <w:tr w:rsidR="000F4208" w14:paraId="2A684C5A" w14:textId="77777777">
        <w:trPr>
          <w:trHeight w:val="240"/>
        </w:trPr>
        <w:tc>
          <w:tcPr>
            <w:tcW w:w="3000" w:type="pct"/>
            <w:tcBorders>
              <w:top w:val="nil"/>
              <w:left w:val="nil"/>
              <w:bottom w:val="nil"/>
              <w:right w:val="nil"/>
            </w:tcBorders>
            <w:tcMar>
              <w:top w:w="91" w:type="dxa"/>
              <w:left w:w="0" w:type="dxa"/>
              <w:bottom w:w="28" w:type="dxa"/>
              <w:right w:w="108" w:type="dxa"/>
            </w:tcMar>
          </w:tcPr>
          <w:p w14:paraId="21CC0C4C" w14:textId="77777777" w:rsidR="000F4208" w:rsidRDefault="000F636F">
            <w:pPr>
              <w:keepLines/>
            </w:pPr>
            <w:r>
              <w:t>To Whom It May Concern,</w:t>
            </w:r>
          </w:p>
        </w:tc>
        <w:tc>
          <w:tcPr>
            <w:tcW w:w="2000" w:type="pct"/>
            <w:tcBorders>
              <w:top w:val="nil"/>
              <w:left w:val="nil"/>
              <w:bottom w:val="nil"/>
              <w:right w:val="nil"/>
            </w:tcBorders>
            <w:tcMar>
              <w:top w:w="91" w:type="dxa"/>
              <w:left w:w="0" w:type="dxa"/>
              <w:bottom w:w="28" w:type="dxa"/>
              <w:right w:w="108" w:type="dxa"/>
            </w:tcMar>
          </w:tcPr>
          <w:p w14:paraId="2C00812C" w14:textId="77777777" w:rsidR="000F4208" w:rsidRDefault="000F636F">
            <w:pPr>
              <w:keepLines/>
              <w:jc w:val="right"/>
            </w:pPr>
            <w:r>
              <w:t>3</w:t>
            </w:r>
            <w:r>
              <w:rPr>
                <w:vertAlign w:val="superscript"/>
              </w:rPr>
              <w:t>rd</w:t>
            </w:r>
            <w:r>
              <w:t xml:space="preserve"> June 2026</w:t>
            </w:r>
          </w:p>
        </w:tc>
      </w:tr>
    </w:tbl>
    <w:p w14:paraId="7E45EA97" w14:textId="77777777" w:rsidR="000F4208" w:rsidRDefault="000F636F">
      <w:r>
        <w:br/>
        <w:t>Dear Sirs,</w:t>
      </w:r>
      <w:r>
        <w:br/>
      </w:r>
    </w:p>
    <w:p w14:paraId="5B459126" w14:textId="77777777" w:rsidR="000F4208" w:rsidRDefault="000F636F">
      <w:pPr>
        <w:pStyle w:val="NormalWeb"/>
        <w:rPr>
          <w:b/>
        </w:rPr>
      </w:pPr>
      <w:r>
        <w:rPr>
          <w:b/>
        </w:rPr>
        <w:t xml:space="preserve">RE: Cinderford Town Council </w:t>
      </w:r>
    </w:p>
    <w:p w14:paraId="16DE4708" w14:textId="77777777" w:rsidR="000F4208" w:rsidRDefault="000F636F">
      <w:pPr>
        <w:pStyle w:val="NormalWeb"/>
        <w:spacing w:after="240"/>
      </w:pPr>
      <w:r>
        <w:rPr>
          <w:b/>
        </w:rPr>
        <w:t xml:space="preserve">Our Reference: </w:t>
      </w:r>
      <w:r>
        <w:t>19580685</w:t>
      </w:r>
    </w:p>
    <w:p w14:paraId="6857CAC8" w14:textId="77777777" w:rsidR="000F4208" w:rsidRDefault="000F636F">
      <w:pPr>
        <w:pStyle w:val="NormalWeb"/>
      </w:pPr>
      <w:r>
        <w:t>We can confirm that we act as insurance brokers on behalf of the above insured, and that the following covers are in place:</w:t>
      </w:r>
    </w:p>
    <w:p w14:paraId="0B0B426F" w14:textId="77777777" w:rsidR="000F4208" w:rsidRDefault="000F636F">
      <w:r>
        <w:br/>
      </w:r>
      <w:r>
        <w:rPr>
          <w:b/>
          <w:u w:val="single"/>
        </w:rPr>
        <w:t>Business Description</w:t>
      </w:r>
      <w:r>
        <w:br/>
      </w:r>
    </w:p>
    <w:p w14:paraId="4A0065C1" w14:textId="77777777" w:rsidR="000F4208" w:rsidRDefault="000F636F">
      <w:pPr>
        <w:pStyle w:val="NormalWeb"/>
      </w:pPr>
      <w:r>
        <w:t>Town Council</w:t>
      </w:r>
    </w:p>
    <w:p w14:paraId="0C4C7741" w14:textId="77777777" w:rsidR="000F4208" w:rsidRDefault="000F636F">
      <w:pPr>
        <w:pStyle w:val="Heading3"/>
      </w:pPr>
      <w:r>
        <w:t>Employers Liability</w:t>
      </w:r>
    </w:p>
    <w:tbl>
      <w:tblPr>
        <w:tblStyle w:val="TableNormalWeb"/>
        <w:tblW w:w="5000" w:type="pct"/>
        <w:tblBorders>
          <w:top w:val="nil"/>
          <w:left w:val="nil"/>
          <w:bottom w:val="nil"/>
          <w:right w:val="nil"/>
        </w:tblBorders>
        <w:tblCellMar>
          <w:left w:w="0" w:type="dxa"/>
          <w:right w:w="0" w:type="dxa"/>
        </w:tblCellMar>
        <w:tblLook w:val="04A0" w:firstRow="1" w:lastRow="0" w:firstColumn="1" w:lastColumn="0" w:noHBand="0" w:noVBand="1"/>
      </w:tblPr>
      <w:tblGrid>
        <w:gridCol w:w="10773"/>
      </w:tblGrid>
      <w:tr w:rsidR="000F4208" w14:paraId="19CD9592" w14:textId="77777777">
        <w:trPr>
          <w:cantSplit/>
          <w:trHeight w:val="240"/>
        </w:trPr>
        <w:tc>
          <w:tcPr>
            <w:tcW w:w="0" w:type="auto"/>
            <w:tcBorders>
              <w:top w:val="nil"/>
              <w:left w:val="nil"/>
              <w:bottom w:val="nil"/>
              <w:right w:val="nil"/>
            </w:tcBorders>
            <w:tcMar>
              <w:top w:w="0" w:type="dxa"/>
              <w:left w:w="0" w:type="dxa"/>
              <w:bottom w:w="0" w:type="dxa"/>
              <w:right w:w="0" w:type="dxa"/>
            </w:tcMar>
          </w:tcPr>
          <w:tbl>
            <w:tblPr>
              <w:tblStyle w:val="TableNormalWeb"/>
              <w:tblW w:w="5000" w:type="pct"/>
              <w:tblBorders>
                <w:top w:val="nil"/>
                <w:left w:val="nil"/>
                <w:bottom w:val="nil"/>
                <w:right w:val="nil"/>
              </w:tblBorders>
              <w:tblCellMar>
                <w:left w:w="0" w:type="dxa"/>
                <w:right w:w="0" w:type="dxa"/>
              </w:tblCellMar>
              <w:tblLook w:val="04A0" w:firstRow="1" w:lastRow="0" w:firstColumn="1" w:lastColumn="0" w:noHBand="0" w:noVBand="1"/>
            </w:tblPr>
            <w:tblGrid>
              <w:gridCol w:w="4309"/>
              <w:gridCol w:w="6464"/>
            </w:tblGrid>
            <w:tr w:rsidR="000F4208" w14:paraId="58E76F40" w14:textId="77777777">
              <w:trPr>
                <w:trHeight w:val="240"/>
              </w:trPr>
              <w:tc>
                <w:tcPr>
                  <w:tcW w:w="2000" w:type="pct"/>
                  <w:tcBorders>
                    <w:top w:val="nil"/>
                    <w:left w:val="nil"/>
                    <w:bottom w:val="nil"/>
                    <w:right w:val="nil"/>
                  </w:tcBorders>
                  <w:tcMar>
                    <w:top w:w="91" w:type="dxa"/>
                    <w:left w:w="108" w:type="dxa"/>
                    <w:bottom w:w="28" w:type="dxa"/>
                    <w:right w:w="108" w:type="dxa"/>
                  </w:tcMar>
                </w:tcPr>
                <w:p w14:paraId="6C87BFCB" w14:textId="77777777" w:rsidR="000F4208" w:rsidRDefault="000F636F">
                  <w:pPr>
                    <w:keepLines/>
                    <w:rPr>
                      <w:b/>
                    </w:rPr>
                  </w:pPr>
                  <w:r>
                    <w:rPr>
                      <w:b/>
                    </w:rPr>
                    <w:t>Insurer:</w:t>
                  </w:r>
                </w:p>
              </w:tc>
              <w:tc>
                <w:tcPr>
                  <w:tcW w:w="3000" w:type="pct"/>
                  <w:tcBorders>
                    <w:top w:val="nil"/>
                    <w:left w:val="nil"/>
                    <w:bottom w:val="nil"/>
                    <w:right w:val="nil"/>
                  </w:tcBorders>
                  <w:tcMar>
                    <w:top w:w="91" w:type="dxa"/>
                    <w:left w:w="108" w:type="dxa"/>
                    <w:bottom w:w="28" w:type="dxa"/>
                    <w:right w:w="108" w:type="dxa"/>
                  </w:tcMar>
                </w:tcPr>
                <w:p w14:paraId="2ED5BE04" w14:textId="77777777" w:rsidR="000F4208" w:rsidRDefault="000F636F">
                  <w:pPr>
                    <w:keepLines/>
                  </w:pPr>
                  <w:r>
                    <w:t>Aviva Insurance Limited</w:t>
                  </w:r>
                </w:p>
              </w:tc>
            </w:tr>
            <w:tr w:rsidR="000F4208" w14:paraId="2C5436E5" w14:textId="77777777">
              <w:trPr>
                <w:trHeight w:val="240"/>
              </w:trPr>
              <w:tc>
                <w:tcPr>
                  <w:tcW w:w="2000" w:type="pct"/>
                  <w:tcBorders>
                    <w:top w:val="nil"/>
                    <w:left w:val="nil"/>
                    <w:bottom w:val="nil"/>
                    <w:right w:val="nil"/>
                  </w:tcBorders>
                  <w:tcMar>
                    <w:top w:w="91" w:type="dxa"/>
                    <w:left w:w="108" w:type="dxa"/>
                    <w:bottom w:w="28" w:type="dxa"/>
                    <w:right w:w="108" w:type="dxa"/>
                  </w:tcMar>
                </w:tcPr>
                <w:p w14:paraId="41A3D53F" w14:textId="77777777" w:rsidR="000F4208" w:rsidRDefault="000F636F">
                  <w:pPr>
                    <w:keepLines/>
                    <w:rPr>
                      <w:b/>
                    </w:rPr>
                  </w:pPr>
                  <w:r>
                    <w:rPr>
                      <w:b/>
                    </w:rPr>
                    <w:t>Policy Reference:</w:t>
                  </w:r>
                </w:p>
              </w:tc>
              <w:tc>
                <w:tcPr>
                  <w:tcW w:w="3000" w:type="pct"/>
                  <w:tcBorders>
                    <w:top w:val="nil"/>
                    <w:left w:val="nil"/>
                    <w:bottom w:val="nil"/>
                    <w:right w:val="nil"/>
                  </w:tcBorders>
                  <w:tcMar>
                    <w:top w:w="91" w:type="dxa"/>
                    <w:left w:w="108" w:type="dxa"/>
                    <w:bottom w:w="28" w:type="dxa"/>
                    <w:right w:w="108" w:type="dxa"/>
                  </w:tcMar>
                </w:tcPr>
                <w:p w14:paraId="4538BA69" w14:textId="77777777" w:rsidR="000F4208" w:rsidRDefault="000F636F">
                  <w:pPr>
                    <w:keepLines/>
                  </w:pPr>
                  <w:r>
                    <w:t>100760886CCI</w:t>
                  </w:r>
                </w:p>
              </w:tc>
            </w:tr>
            <w:tr w:rsidR="000F4208" w14:paraId="48153BDF" w14:textId="77777777">
              <w:trPr>
                <w:trHeight w:val="240"/>
              </w:trPr>
              <w:tc>
                <w:tcPr>
                  <w:tcW w:w="2000" w:type="pct"/>
                  <w:tcBorders>
                    <w:top w:val="nil"/>
                    <w:left w:val="nil"/>
                    <w:bottom w:val="nil"/>
                    <w:right w:val="nil"/>
                  </w:tcBorders>
                  <w:tcMar>
                    <w:top w:w="91" w:type="dxa"/>
                    <w:left w:w="108" w:type="dxa"/>
                    <w:bottom w:w="28" w:type="dxa"/>
                    <w:right w:w="108" w:type="dxa"/>
                  </w:tcMar>
                </w:tcPr>
                <w:p w14:paraId="35CAC67C" w14:textId="77777777" w:rsidR="000F4208" w:rsidRDefault="000F636F">
                  <w:pPr>
                    <w:keepLines/>
                    <w:rPr>
                      <w:b/>
                    </w:rPr>
                  </w:pPr>
                  <w:r>
                    <w:rPr>
                      <w:b/>
                    </w:rPr>
                    <w:t>Cover period:</w:t>
                  </w:r>
                </w:p>
              </w:tc>
              <w:tc>
                <w:tcPr>
                  <w:tcW w:w="3000" w:type="pct"/>
                  <w:tcBorders>
                    <w:top w:val="nil"/>
                    <w:left w:val="nil"/>
                    <w:bottom w:val="nil"/>
                    <w:right w:val="nil"/>
                  </w:tcBorders>
                  <w:tcMar>
                    <w:top w:w="91" w:type="dxa"/>
                    <w:left w:w="108" w:type="dxa"/>
                    <w:bottom w:w="28" w:type="dxa"/>
                    <w:right w:w="108" w:type="dxa"/>
                  </w:tcMar>
                </w:tcPr>
                <w:p w14:paraId="3F2D4DFA" w14:textId="77777777" w:rsidR="000F4208" w:rsidRDefault="000F636F">
                  <w:pPr>
                    <w:keepLines/>
                  </w:pPr>
                  <w:r>
                    <w:t>8th June 2026 to 7th June 2027</w:t>
                  </w:r>
                </w:p>
              </w:tc>
            </w:tr>
            <w:tr w:rsidR="000F4208" w14:paraId="23950EAB" w14:textId="77777777">
              <w:trPr>
                <w:trHeight w:val="240"/>
              </w:trPr>
              <w:tc>
                <w:tcPr>
                  <w:tcW w:w="2000" w:type="pct"/>
                  <w:tcBorders>
                    <w:top w:val="nil"/>
                    <w:left w:val="nil"/>
                    <w:bottom w:val="nil"/>
                    <w:right w:val="nil"/>
                  </w:tcBorders>
                  <w:tcMar>
                    <w:top w:w="91" w:type="dxa"/>
                    <w:left w:w="108" w:type="dxa"/>
                    <w:bottom w:w="28" w:type="dxa"/>
                    <w:right w:w="108" w:type="dxa"/>
                  </w:tcMar>
                </w:tcPr>
                <w:p w14:paraId="71A6C1DC" w14:textId="77777777" w:rsidR="000F4208" w:rsidRDefault="000F636F">
                  <w:pPr>
                    <w:keepLines/>
                    <w:rPr>
                      <w:b/>
                    </w:rPr>
                  </w:pPr>
                  <w:r>
                    <w:rPr>
                      <w:b/>
                    </w:rPr>
                    <w:t>Details:</w:t>
                  </w:r>
                </w:p>
              </w:tc>
              <w:tc>
                <w:tcPr>
                  <w:tcW w:w="3000" w:type="pct"/>
                  <w:tcBorders>
                    <w:top w:val="nil"/>
                    <w:left w:val="nil"/>
                    <w:bottom w:val="nil"/>
                    <w:right w:val="nil"/>
                  </w:tcBorders>
                  <w:tcMar>
                    <w:top w:w="91" w:type="dxa"/>
                    <w:left w:w="108" w:type="dxa"/>
                    <w:bottom w:w="28" w:type="dxa"/>
                    <w:right w:w="108" w:type="dxa"/>
                  </w:tcMar>
                </w:tcPr>
                <w:p w14:paraId="25680BAF" w14:textId="77777777" w:rsidR="000F4208" w:rsidRDefault="000F636F">
                  <w:pPr>
                    <w:keepLines/>
                  </w:pPr>
                  <w:r>
                    <w:t>Legal liability in respect of the death, bodily injury, illness or disease sustained by any employee arising out of and in the course of his employment with a limit of GBP10,000,000 any one occurrence or series of occurrences arising out of the same cause including costs, including principals clause.</w:t>
                  </w:r>
                </w:p>
              </w:tc>
            </w:tr>
          </w:tbl>
          <w:p w14:paraId="286084A6" w14:textId="77777777" w:rsidR="000F4208" w:rsidRDefault="000F4208"/>
        </w:tc>
      </w:tr>
    </w:tbl>
    <w:p w14:paraId="7EEFBD87" w14:textId="77777777" w:rsidR="000F4208" w:rsidRDefault="000F4208">
      <w:pPr>
        <w:pStyle w:val="NormalWeb"/>
      </w:pPr>
    </w:p>
    <w:p w14:paraId="4E46ECC9" w14:textId="77777777" w:rsidR="000F4208" w:rsidRDefault="000F636F">
      <w:pPr>
        <w:pStyle w:val="Heading3"/>
      </w:pPr>
      <w:r>
        <w:t>Public Liability &amp; Products Liability</w:t>
      </w:r>
    </w:p>
    <w:tbl>
      <w:tblPr>
        <w:tblStyle w:val="TableNormalWeb"/>
        <w:tblW w:w="5000" w:type="pct"/>
        <w:tblBorders>
          <w:top w:val="nil"/>
          <w:left w:val="nil"/>
          <w:bottom w:val="nil"/>
          <w:right w:val="nil"/>
        </w:tblBorders>
        <w:tblCellMar>
          <w:left w:w="0" w:type="dxa"/>
          <w:right w:w="0" w:type="dxa"/>
        </w:tblCellMar>
        <w:tblLook w:val="04A0" w:firstRow="1" w:lastRow="0" w:firstColumn="1" w:lastColumn="0" w:noHBand="0" w:noVBand="1"/>
      </w:tblPr>
      <w:tblGrid>
        <w:gridCol w:w="10773"/>
      </w:tblGrid>
      <w:tr w:rsidR="000F4208" w14:paraId="6CCE0046" w14:textId="77777777">
        <w:trPr>
          <w:cantSplit/>
          <w:trHeight w:val="240"/>
        </w:trPr>
        <w:tc>
          <w:tcPr>
            <w:tcW w:w="0" w:type="auto"/>
            <w:tcBorders>
              <w:top w:val="nil"/>
              <w:left w:val="nil"/>
              <w:bottom w:val="nil"/>
              <w:right w:val="nil"/>
            </w:tcBorders>
            <w:tcMar>
              <w:top w:w="0" w:type="dxa"/>
              <w:left w:w="0" w:type="dxa"/>
              <w:bottom w:w="0" w:type="dxa"/>
              <w:right w:w="0" w:type="dxa"/>
            </w:tcMar>
          </w:tcPr>
          <w:tbl>
            <w:tblPr>
              <w:tblStyle w:val="TableNormalWeb"/>
              <w:tblW w:w="5000" w:type="pct"/>
              <w:tblBorders>
                <w:top w:val="nil"/>
                <w:left w:val="nil"/>
                <w:bottom w:val="nil"/>
                <w:right w:val="nil"/>
              </w:tblBorders>
              <w:tblCellMar>
                <w:left w:w="0" w:type="dxa"/>
                <w:right w:w="0" w:type="dxa"/>
              </w:tblCellMar>
              <w:tblLook w:val="04A0" w:firstRow="1" w:lastRow="0" w:firstColumn="1" w:lastColumn="0" w:noHBand="0" w:noVBand="1"/>
            </w:tblPr>
            <w:tblGrid>
              <w:gridCol w:w="4309"/>
              <w:gridCol w:w="6464"/>
            </w:tblGrid>
            <w:tr w:rsidR="000F4208" w14:paraId="3A1009D6" w14:textId="77777777">
              <w:trPr>
                <w:trHeight w:val="240"/>
              </w:trPr>
              <w:tc>
                <w:tcPr>
                  <w:tcW w:w="2000" w:type="pct"/>
                  <w:tcBorders>
                    <w:top w:val="nil"/>
                    <w:left w:val="nil"/>
                    <w:bottom w:val="nil"/>
                    <w:right w:val="nil"/>
                  </w:tcBorders>
                  <w:tcMar>
                    <w:top w:w="91" w:type="dxa"/>
                    <w:left w:w="108" w:type="dxa"/>
                    <w:bottom w:w="28" w:type="dxa"/>
                    <w:right w:w="108" w:type="dxa"/>
                  </w:tcMar>
                </w:tcPr>
                <w:p w14:paraId="11F6C7E5" w14:textId="77777777" w:rsidR="000F4208" w:rsidRDefault="000F636F">
                  <w:pPr>
                    <w:keepLines/>
                    <w:rPr>
                      <w:b/>
                    </w:rPr>
                  </w:pPr>
                  <w:r>
                    <w:rPr>
                      <w:b/>
                    </w:rPr>
                    <w:t>Insurer:</w:t>
                  </w:r>
                </w:p>
              </w:tc>
              <w:tc>
                <w:tcPr>
                  <w:tcW w:w="3000" w:type="pct"/>
                  <w:tcBorders>
                    <w:top w:val="nil"/>
                    <w:left w:val="nil"/>
                    <w:bottom w:val="nil"/>
                    <w:right w:val="nil"/>
                  </w:tcBorders>
                  <w:tcMar>
                    <w:top w:w="91" w:type="dxa"/>
                    <w:left w:w="108" w:type="dxa"/>
                    <w:bottom w:w="28" w:type="dxa"/>
                    <w:right w:w="108" w:type="dxa"/>
                  </w:tcMar>
                </w:tcPr>
                <w:p w14:paraId="435F4CBF" w14:textId="77777777" w:rsidR="000F4208" w:rsidRDefault="000F636F">
                  <w:pPr>
                    <w:keepLines/>
                  </w:pPr>
                  <w:r>
                    <w:t>Aviva Insurance Limited</w:t>
                  </w:r>
                </w:p>
              </w:tc>
            </w:tr>
            <w:tr w:rsidR="000F4208" w14:paraId="4A9156EA" w14:textId="77777777">
              <w:trPr>
                <w:trHeight w:val="240"/>
              </w:trPr>
              <w:tc>
                <w:tcPr>
                  <w:tcW w:w="2000" w:type="pct"/>
                  <w:tcBorders>
                    <w:top w:val="nil"/>
                    <w:left w:val="nil"/>
                    <w:bottom w:val="nil"/>
                    <w:right w:val="nil"/>
                  </w:tcBorders>
                  <w:tcMar>
                    <w:top w:w="91" w:type="dxa"/>
                    <w:left w:w="108" w:type="dxa"/>
                    <w:bottom w:w="28" w:type="dxa"/>
                    <w:right w:w="108" w:type="dxa"/>
                  </w:tcMar>
                </w:tcPr>
                <w:p w14:paraId="14563767" w14:textId="77777777" w:rsidR="000F4208" w:rsidRDefault="000F636F">
                  <w:pPr>
                    <w:keepLines/>
                    <w:rPr>
                      <w:b/>
                    </w:rPr>
                  </w:pPr>
                  <w:r>
                    <w:rPr>
                      <w:b/>
                    </w:rPr>
                    <w:t>Policy Reference:</w:t>
                  </w:r>
                </w:p>
              </w:tc>
              <w:tc>
                <w:tcPr>
                  <w:tcW w:w="3000" w:type="pct"/>
                  <w:tcBorders>
                    <w:top w:val="nil"/>
                    <w:left w:val="nil"/>
                    <w:bottom w:val="nil"/>
                    <w:right w:val="nil"/>
                  </w:tcBorders>
                  <w:tcMar>
                    <w:top w:w="91" w:type="dxa"/>
                    <w:left w:w="108" w:type="dxa"/>
                    <w:bottom w:w="28" w:type="dxa"/>
                    <w:right w:w="108" w:type="dxa"/>
                  </w:tcMar>
                </w:tcPr>
                <w:p w14:paraId="4A982A08" w14:textId="77777777" w:rsidR="000F4208" w:rsidRDefault="000F636F">
                  <w:pPr>
                    <w:keepLines/>
                  </w:pPr>
                  <w:r>
                    <w:t>100760886CCI</w:t>
                  </w:r>
                </w:p>
              </w:tc>
            </w:tr>
            <w:tr w:rsidR="000F4208" w14:paraId="1374236F" w14:textId="77777777">
              <w:trPr>
                <w:trHeight w:val="240"/>
              </w:trPr>
              <w:tc>
                <w:tcPr>
                  <w:tcW w:w="2000" w:type="pct"/>
                  <w:tcBorders>
                    <w:top w:val="nil"/>
                    <w:left w:val="nil"/>
                    <w:bottom w:val="nil"/>
                    <w:right w:val="nil"/>
                  </w:tcBorders>
                  <w:tcMar>
                    <w:top w:w="91" w:type="dxa"/>
                    <w:left w:w="108" w:type="dxa"/>
                    <w:bottom w:w="28" w:type="dxa"/>
                    <w:right w:w="108" w:type="dxa"/>
                  </w:tcMar>
                </w:tcPr>
                <w:p w14:paraId="44C018F6" w14:textId="77777777" w:rsidR="000F4208" w:rsidRDefault="000F636F">
                  <w:pPr>
                    <w:keepLines/>
                    <w:rPr>
                      <w:b/>
                    </w:rPr>
                  </w:pPr>
                  <w:r>
                    <w:rPr>
                      <w:b/>
                    </w:rPr>
                    <w:t>Cover period:</w:t>
                  </w:r>
                </w:p>
              </w:tc>
              <w:tc>
                <w:tcPr>
                  <w:tcW w:w="3000" w:type="pct"/>
                  <w:tcBorders>
                    <w:top w:val="nil"/>
                    <w:left w:val="nil"/>
                    <w:bottom w:val="nil"/>
                    <w:right w:val="nil"/>
                  </w:tcBorders>
                  <w:tcMar>
                    <w:top w:w="91" w:type="dxa"/>
                    <w:left w:w="108" w:type="dxa"/>
                    <w:bottom w:w="28" w:type="dxa"/>
                    <w:right w:w="108" w:type="dxa"/>
                  </w:tcMar>
                </w:tcPr>
                <w:p w14:paraId="188A79EC" w14:textId="77777777" w:rsidR="000F4208" w:rsidRDefault="000F636F">
                  <w:pPr>
                    <w:keepLines/>
                  </w:pPr>
                  <w:r>
                    <w:t>8th June 2026 to 7th June 2027</w:t>
                  </w:r>
                </w:p>
              </w:tc>
            </w:tr>
            <w:tr w:rsidR="000F4208" w14:paraId="090FB9BD" w14:textId="77777777">
              <w:trPr>
                <w:trHeight w:val="240"/>
              </w:trPr>
              <w:tc>
                <w:tcPr>
                  <w:tcW w:w="2000" w:type="pct"/>
                  <w:tcBorders>
                    <w:top w:val="nil"/>
                    <w:left w:val="nil"/>
                    <w:bottom w:val="nil"/>
                    <w:right w:val="nil"/>
                  </w:tcBorders>
                  <w:tcMar>
                    <w:top w:w="91" w:type="dxa"/>
                    <w:left w:w="108" w:type="dxa"/>
                    <w:bottom w:w="28" w:type="dxa"/>
                    <w:right w:w="108" w:type="dxa"/>
                  </w:tcMar>
                </w:tcPr>
                <w:p w14:paraId="698024DA" w14:textId="77777777" w:rsidR="000F4208" w:rsidRDefault="000F636F">
                  <w:pPr>
                    <w:keepLines/>
                    <w:rPr>
                      <w:b/>
                    </w:rPr>
                  </w:pPr>
                  <w:r>
                    <w:rPr>
                      <w:b/>
                    </w:rPr>
                    <w:t>Details:</w:t>
                  </w:r>
                </w:p>
              </w:tc>
              <w:tc>
                <w:tcPr>
                  <w:tcW w:w="3000" w:type="pct"/>
                  <w:tcBorders>
                    <w:top w:val="nil"/>
                    <w:left w:val="nil"/>
                    <w:bottom w:val="nil"/>
                    <w:right w:val="nil"/>
                  </w:tcBorders>
                  <w:tcMar>
                    <w:top w:w="91" w:type="dxa"/>
                    <w:left w:w="108" w:type="dxa"/>
                    <w:bottom w:w="28" w:type="dxa"/>
                    <w:right w:w="108" w:type="dxa"/>
                  </w:tcMar>
                </w:tcPr>
                <w:p w14:paraId="74129CA1" w14:textId="77777777" w:rsidR="000F4208" w:rsidRDefault="000F636F">
                  <w:pPr>
                    <w:keepLines/>
                  </w:pPr>
                  <w:r>
                    <w:t>The insured’s legal liability for death of or injury sustained by third parties and/or damage to third parties and/or damage to third party property arising out of the insured’s business with an indemnity limit of GBP10,000,000 any one accident but unlimited in any year (aggregate for Products Liability) including principals clause.</w:t>
                  </w:r>
                </w:p>
              </w:tc>
            </w:tr>
            <w:tr w:rsidR="000F4208" w14:paraId="776B1389" w14:textId="77777777">
              <w:trPr>
                <w:trHeight w:val="240"/>
              </w:trPr>
              <w:tc>
                <w:tcPr>
                  <w:tcW w:w="2000" w:type="pct"/>
                  <w:tcBorders>
                    <w:top w:val="nil"/>
                    <w:left w:val="nil"/>
                    <w:bottom w:val="nil"/>
                    <w:right w:val="nil"/>
                  </w:tcBorders>
                  <w:tcMar>
                    <w:top w:w="91" w:type="dxa"/>
                    <w:left w:w="108" w:type="dxa"/>
                    <w:bottom w:w="28" w:type="dxa"/>
                    <w:right w:w="108" w:type="dxa"/>
                  </w:tcMar>
                </w:tcPr>
                <w:p w14:paraId="3B5534D8" w14:textId="77777777" w:rsidR="000F4208" w:rsidRDefault="000F636F">
                  <w:pPr>
                    <w:keepLines/>
                    <w:rPr>
                      <w:b/>
                    </w:rPr>
                  </w:pPr>
                  <w:r>
                    <w:rPr>
                      <w:b/>
                    </w:rPr>
                    <w:t>Third Party Property Damage Excess:</w:t>
                  </w:r>
                </w:p>
              </w:tc>
              <w:tc>
                <w:tcPr>
                  <w:tcW w:w="3000" w:type="pct"/>
                  <w:tcBorders>
                    <w:top w:val="nil"/>
                    <w:left w:val="nil"/>
                    <w:bottom w:val="nil"/>
                    <w:right w:val="nil"/>
                  </w:tcBorders>
                  <w:tcMar>
                    <w:top w:w="91" w:type="dxa"/>
                    <w:left w:w="108" w:type="dxa"/>
                    <w:bottom w:w="28" w:type="dxa"/>
                    <w:right w:w="108" w:type="dxa"/>
                  </w:tcMar>
                </w:tcPr>
                <w:p w14:paraId="4ED90A40" w14:textId="33BC7707" w:rsidR="000F4208" w:rsidRDefault="000F636F">
                  <w:pPr>
                    <w:keepLines/>
                  </w:pPr>
                  <w:r>
                    <w:t>£</w:t>
                  </w:r>
                  <w:r w:rsidR="00D00F97">
                    <w:t>500</w:t>
                  </w:r>
                </w:p>
              </w:tc>
            </w:tr>
          </w:tbl>
          <w:p w14:paraId="61D96A40" w14:textId="77777777" w:rsidR="000F4208" w:rsidRDefault="000F4208"/>
        </w:tc>
      </w:tr>
    </w:tbl>
    <w:p w14:paraId="35ED7444" w14:textId="77777777" w:rsidR="000F4208" w:rsidRDefault="000F636F">
      <w:pPr>
        <w:pStyle w:val="Heading3"/>
      </w:pPr>
      <w:r>
        <w:t>Subjectivities</w:t>
      </w:r>
    </w:p>
    <w:p w14:paraId="719231D6" w14:textId="77777777" w:rsidR="000F4208" w:rsidRDefault="000F636F">
      <w:pPr>
        <w:pStyle w:val="NormalWeb"/>
      </w:pPr>
      <w:r>
        <w:t>The full terms and conditions of the above covers are set out in the relevant insurance policy/policies and the statement above is for information purposes only.</w:t>
      </w:r>
    </w:p>
    <w:p w14:paraId="108ED67B" w14:textId="77777777" w:rsidR="000F4208" w:rsidRDefault="000F4208"/>
    <w:p w14:paraId="52C6EA59" w14:textId="77777777" w:rsidR="000F4208" w:rsidRDefault="000F636F">
      <w:pPr>
        <w:pStyle w:val="NormalWeb"/>
      </w:pPr>
      <w:r>
        <w:t>The above information is provided in good faith based on the arrangements at the time of writing. The expiry date shown represents the normal expiry date of the policy, which may change according to the circumstances.</w:t>
      </w:r>
    </w:p>
    <w:p w14:paraId="341944FB" w14:textId="77777777" w:rsidR="000F4208" w:rsidRDefault="000F4208"/>
    <w:p w14:paraId="48781332" w14:textId="77777777" w:rsidR="000F4208" w:rsidRDefault="000F636F">
      <w:pPr>
        <w:pStyle w:val="NormalWeb"/>
      </w:pPr>
      <w:r>
        <w:t>We trust that you will find the above all in order, however, please do not hesitate to contact us is you require any further assistance.</w:t>
      </w:r>
    </w:p>
    <w:p w14:paraId="41853FFA" w14:textId="77777777" w:rsidR="000F4208" w:rsidRDefault="000F4208"/>
    <w:p w14:paraId="2FF4395B" w14:textId="77777777" w:rsidR="000F4208" w:rsidRDefault="000F4208"/>
    <w:p w14:paraId="4749223D" w14:textId="77777777" w:rsidR="000F4208" w:rsidRDefault="000F636F">
      <w:pPr>
        <w:pStyle w:val="NormalWeb"/>
        <w:keepNext/>
        <w:keepLines/>
      </w:pPr>
      <w:r>
        <w:t>Yours faithfully,</w:t>
      </w:r>
    </w:p>
    <w:p w14:paraId="5BB35141" w14:textId="77777777" w:rsidR="000F4208" w:rsidRDefault="000F636F">
      <w:pPr>
        <w:pStyle w:val="NormalWeb"/>
        <w:spacing w:after="240"/>
      </w:pPr>
      <w:r>
        <w:rPr>
          <w:noProof/>
        </w:rPr>
        <w:drawing>
          <wp:inline distT="0" distB="0" distL="0" distR="0" wp14:anchorId="1C99C15B" wp14:editId="519B6F7D">
            <wp:extent cx="1811026" cy="514350"/>
            <wp:effectExtent l="0" t="0" r="0" b="0"/>
            <wp:docPr id="100001" name="Picture 100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1" name=""/>
                    <pic:cNvPicPr>
                      <a:picLocks/>
                    </pic:cNvPicPr>
                  </pic:nvPicPr>
                  <pic:blipFill>
                    <a:blip r:embed="rId9"/>
                    <a:stretch>
                      <a:fillRect/>
                    </a:stretch>
                  </pic:blipFill>
                  <pic:spPr>
                    <a:xfrm>
                      <a:off x="0" y="0"/>
                      <a:ext cx="1811026" cy="514350"/>
                    </a:xfrm>
                    <a:prstGeom prst="rect">
                      <a:avLst/>
                    </a:prstGeom>
                  </pic:spPr>
                </pic:pic>
              </a:graphicData>
            </a:graphic>
          </wp:inline>
        </w:drawing>
      </w:r>
    </w:p>
    <w:p w14:paraId="09411551" w14:textId="5A26F3E8" w:rsidR="000F4208" w:rsidRDefault="000F636F">
      <w:pPr>
        <w:pStyle w:val="NormalWeb"/>
        <w:keepNext/>
        <w:keepLines/>
      </w:pPr>
      <w:r>
        <w:t>Julie Holgate</w:t>
      </w:r>
      <w:r>
        <w:br/>
        <w:t>Senior Client Adviser</w:t>
      </w:r>
      <w:r>
        <w:br/>
        <w:t>Tel: 01752 424664</w:t>
      </w:r>
      <w:r>
        <w:br/>
        <w:t xml:space="preserve">Email: </w:t>
      </w:r>
      <w:hyperlink r:id="rId10" w:history="1">
        <w:r w:rsidR="00D00F97" w:rsidRPr="004A7585">
          <w:rPr>
            <w:rStyle w:val="Hyperlink"/>
          </w:rPr>
          <w:t>julie.holgate@jameshallam.co.uk</w:t>
        </w:r>
      </w:hyperlink>
      <w:r w:rsidR="00D00F97">
        <w:t xml:space="preserve"> </w:t>
      </w:r>
    </w:p>
    <w:p w14:paraId="20DB6AB7" w14:textId="77777777" w:rsidR="000F4208" w:rsidRDefault="000F636F">
      <w:pPr>
        <w:pStyle w:val="anchor"/>
        <w:rPr>
          <w:vanish w:val="0"/>
        </w:rPr>
      </w:pPr>
      <w:bookmarkStart w:id="0" w:name="DOCUMENT_TITLE_NEW"/>
      <w:bookmarkEnd w:id="0"/>
      <w:r>
        <w:t xml:space="preserve"> </w:t>
      </w:r>
      <w:bookmarkStart w:id="1" w:name="ACCEXECADDRESS"/>
      <w:r>
        <w:t>Spargo House</w:t>
      </w:r>
      <w:r>
        <w:br/>
        <w:t>10 Budshead Way</w:t>
      </w:r>
      <w:r>
        <w:br/>
        <w:t>Plymouth</w:t>
      </w:r>
      <w:r>
        <w:br/>
        <w:t>Devon</w:t>
      </w:r>
      <w:r>
        <w:br/>
        <w:t>PL6 5FE</w:t>
      </w:r>
      <w:bookmarkEnd w:id="1"/>
      <w:r>
        <w:t xml:space="preserve"> </w:t>
      </w:r>
      <w:bookmarkStart w:id="2" w:name="ACCEXECPHONE"/>
      <w:r>
        <w:t>01752 670440</w:t>
      </w:r>
      <w:bookmarkEnd w:id="2"/>
      <w:r>
        <w:t xml:space="preserve"> </w:t>
      </w:r>
      <w:bookmarkStart w:id="3" w:name="ACCEXECFAX"/>
      <w:r>
        <w:t>01752 229125</w:t>
      </w:r>
      <w:bookmarkEnd w:id="3"/>
      <w:r>
        <w:t xml:space="preserve"> </w:t>
      </w:r>
      <w:bookmarkStart w:id="4" w:name="USERADDRESS"/>
      <w:r>
        <w:t>Spargo House</w:t>
      </w:r>
      <w:r>
        <w:br/>
        <w:t>10 Budshead Way</w:t>
      </w:r>
      <w:r>
        <w:br/>
        <w:t>Plymouth</w:t>
      </w:r>
      <w:r>
        <w:br/>
        <w:t>Devon</w:t>
      </w:r>
      <w:r>
        <w:br/>
        <w:t>PL6 5FE</w:t>
      </w:r>
      <w:bookmarkEnd w:id="4"/>
      <w:r>
        <w:t xml:space="preserve"> </w:t>
      </w:r>
      <w:bookmarkStart w:id="5" w:name="USER_PHONE"/>
      <w:r>
        <w:t>01752 424664</w:t>
      </w:r>
      <w:bookmarkEnd w:id="5"/>
      <w:r>
        <w:t xml:space="preserve"> </w:t>
      </w:r>
    </w:p>
    <w:sectPr w:rsidR="000F4208">
      <w:headerReference w:type="default" r:id="rId11"/>
      <w:footerReference w:type="default" r:id="rId12"/>
      <w:type w:val="continuous"/>
      <w:pgSz w:w="11907" w:h="16840"/>
      <w:pgMar w:top="1701" w:right="567" w:bottom="1440"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6C646" w14:textId="77777777" w:rsidR="000F636F" w:rsidRDefault="000F636F">
      <w:r>
        <w:separator/>
      </w:r>
    </w:p>
  </w:endnote>
  <w:endnote w:type="continuationSeparator" w:id="0">
    <w:p w14:paraId="2AB895EF" w14:textId="77777777" w:rsidR="000F636F" w:rsidRDefault="000F6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A759" w14:textId="77777777" w:rsidR="000F4208" w:rsidRDefault="000F636F">
    <w:r>
      <w:pict w14:anchorId="46505422">
        <v:rect id="_x0000_s3073" style="position:absolute;margin-left:28.35pt;margin-top:0;width:538.65pt;height:127.6pt;z-index:251658240;mso-position-horizontal-relative:page;mso-position-vertical:bottom;mso-position-vertical-relative:page" stroked="f">
          <v:path strokeok="f"/>
          <v:textbox inset="0,0,0,0">
            <w:txbxContent>
              <w:tbl>
                <w:tblPr>
                  <w:tblStyle w:val="TableNormalWeb"/>
                  <w:tblW w:w="5000" w:type="pct"/>
                  <w:tblBorders>
                    <w:top w:val="nil"/>
                    <w:left w:val="nil"/>
                    <w:bottom w:val="nil"/>
                    <w:right w:val="nil"/>
                  </w:tblBorders>
                  <w:tblCellMar>
                    <w:left w:w="0" w:type="dxa"/>
                    <w:right w:w="0" w:type="dxa"/>
                  </w:tblCellMar>
                  <w:tblLook w:val="04A0" w:firstRow="1" w:lastRow="0" w:firstColumn="1" w:lastColumn="0" w:noHBand="0" w:noVBand="1"/>
                </w:tblPr>
                <w:tblGrid>
                  <w:gridCol w:w="6028"/>
                  <w:gridCol w:w="4976"/>
                </w:tblGrid>
                <w:tr w:rsidR="000F4208" w14:paraId="655A51FC" w14:textId="77777777">
                  <w:trPr>
                    <w:cantSplit/>
                    <w:trHeight w:val="240"/>
                  </w:trPr>
                  <w:tc>
                    <w:tcPr>
                      <w:tcW w:w="2500" w:type="pct"/>
                      <w:tcBorders>
                        <w:top w:val="nil"/>
                        <w:left w:val="nil"/>
                        <w:bottom w:val="nil"/>
                        <w:right w:val="nil"/>
                      </w:tcBorders>
                      <w:tcMar>
                        <w:top w:w="60" w:type="dxa"/>
                        <w:left w:w="108" w:type="dxa"/>
                        <w:bottom w:w="40" w:type="dxa"/>
                        <w:right w:w="108" w:type="dxa"/>
                      </w:tcMar>
                    </w:tcPr>
                    <w:p w14:paraId="12B87512" w14:textId="77777777" w:rsidR="000F4208" w:rsidRDefault="000F636F">
                      <w:pPr>
                        <w:pStyle w:val="bordernone"/>
                        <w:keepLines/>
                        <w:ind w:right="851"/>
                        <w:jc w:val="right"/>
                      </w:pPr>
                      <w:r>
                        <w:rPr>
                          <w:noProof/>
                        </w:rPr>
                        <w:drawing>
                          <wp:inline distT="0" distB="0" distL="0" distR="0" wp14:anchorId="1D1C20B7" wp14:editId="5B1FDC94">
                            <wp:extent cx="3150394" cy="969010"/>
                            <wp:effectExtent l="0" t="0" r="0" b="0"/>
                            <wp:docPr id="100006" name="Picture 1000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6" name=""/>
                                    <pic:cNvPicPr>
                                      <a:picLocks/>
                                    </pic:cNvPicPr>
                                  </pic:nvPicPr>
                                  <pic:blipFill>
                                    <a:blip r:embed="rId1"/>
                                    <a:stretch>
                                      <a:fillRect/>
                                    </a:stretch>
                                  </pic:blipFill>
                                  <pic:spPr>
                                    <a:xfrm>
                                      <a:off x="0" y="0"/>
                                      <a:ext cx="3150394" cy="969010"/>
                                    </a:xfrm>
                                    <a:prstGeom prst="rect">
                                      <a:avLst/>
                                    </a:prstGeom>
                                  </pic:spPr>
                                </pic:pic>
                              </a:graphicData>
                            </a:graphic>
                          </wp:inline>
                        </w:drawing>
                      </w:r>
                    </w:p>
                  </w:tc>
                  <w:tc>
                    <w:tcPr>
                      <w:tcW w:w="2500" w:type="pct"/>
                      <w:tcBorders>
                        <w:top w:val="nil"/>
                        <w:left w:val="nil"/>
                        <w:bottom w:val="nil"/>
                        <w:right w:val="nil"/>
                      </w:tcBorders>
                      <w:tcMar>
                        <w:top w:w="60" w:type="dxa"/>
                        <w:left w:w="108" w:type="dxa"/>
                        <w:bottom w:w="40" w:type="dxa"/>
                        <w:right w:w="108" w:type="dxa"/>
                      </w:tcMar>
                    </w:tcPr>
                    <w:p w14:paraId="496FE96A" w14:textId="77777777" w:rsidR="000F4208" w:rsidRDefault="000F636F">
                      <w:pPr>
                        <w:pStyle w:val="NormalWeb"/>
                        <w:keepLines/>
                        <w:spacing w:before="40" w:after="60"/>
                        <w:jc w:val="right"/>
                      </w:pPr>
                      <w:r>
                        <w:rPr>
                          <w:sz w:val="16"/>
                        </w:rPr>
                        <w:t>James Hallam Council Guard</w:t>
                      </w:r>
                      <w:r>
                        <w:rPr>
                          <w:sz w:val="16"/>
                        </w:rPr>
                        <w:br/>
                        <w:t xml:space="preserve">Spargo House, 10 </w:t>
                      </w:r>
                      <w:proofErr w:type="spellStart"/>
                      <w:r>
                        <w:rPr>
                          <w:sz w:val="16"/>
                        </w:rPr>
                        <w:t>Budshead</w:t>
                      </w:r>
                      <w:proofErr w:type="spellEnd"/>
                      <w:r>
                        <w:rPr>
                          <w:sz w:val="16"/>
                        </w:rPr>
                        <w:t xml:space="preserve"> Way, Plymouth PL6 5FE</w:t>
                      </w:r>
                      <w:r>
                        <w:rPr>
                          <w:sz w:val="16"/>
                        </w:rPr>
                        <w:br/>
                      </w:r>
                      <w:r>
                        <w:rPr>
                          <w:b/>
                          <w:sz w:val="16"/>
                        </w:rPr>
                        <w:t>Web:</w:t>
                      </w:r>
                      <w:r>
                        <w:rPr>
                          <w:sz w:val="16"/>
                        </w:rPr>
                        <w:t xml:space="preserve"> www.jameshallam.co.uk </w:t>
                      </w:r>
                      <w:r>
                        <w:rPr>
                          <w:sz w:val="16"/>
                        </w:rPr>
                        <w:br/>
                      </w:r>
                      <w:r>
                        <w:rPr>
                          <w:b/>
                          <w:sz w:val="16"/>
                        </w:rPr>
                        <w:t xml:space="preserve">Tel: </w:t>
                      </w:r>
                      <w:r>
                        <w:rPr>
                          <w:sz w:val="16"/>
                        </w:rPr>
                        <w:t xml:space="preserve">01752 670440 | </w:t>
                      </w:r>
                      <w:r>
                        <w:rPr>
                          <w:b/>
                          <w:sz w:val="16"/>
                        </w:rPr>
                        <w:t xml:space="preserve">Fax: </w:t>
                      </w:r>
                      <w:r>
                        <w:rPr>
                          <w:sz w:val="16"/>
                        </w:rPr>
                        <w:t>01752 229125</w:t>
                      </w:r>
                      <w:r>
                        <w:rPr>
                          <w:sz w:val="16"/>
                        </w:rPr>
                        <w:br/>
                      </w:r>
                      <w:r>
                        <w:rPr>
                          <w:sz w:val="16"/>
                        </w:rPr>
                        <w:br/>
                      </w:r>
                      <w:r>
                        <w:rPr>
                          <w:b/>
                          <w:color w:val="0F182B"/>
                          <w:sz w:val="12"/>
                        </w:rPr>
                        <w:t>Registered in England Company No.</w:t>
                      </w:r>
                      <w:r>
                        <w:rPr>
                          <w:color w:val="0F182B"/>
                          <w:sz w:val="12"/>
                        </w:rPr>
                        <w:t xml:space="preserve"> 1632840</w:t>
                      </w:r>
                      <w:r>
                        <w:rPr>
                          <w:color w:val="0F182B"/>
                          <w:sz w:val="12"/>
                        </w:rPr>
                        <w:br/>
                      </w:r>
                      <w:r>
                        <w:rPr>
                          <w:b/>
                          <w:color w:val="0F182B"/>
                          <w:sz w:val="12"/>
                        </w:rPr>
                        <w:t>Registered office:</w:t>
                      </w:r>
                      <w:r>
                        <w:rPr>
                          <w:color w:val="0F182B"/>
                          <w:sz w:val="12"/>
                        </w:rPr>
                        <w:t xml:space="preserve"> 156 South Street, Dorking, Surrey RH4 2HF</w:t>
                      </w:r>
                      <w:r>
                        <w:rPr>
                          <w:color w:val="0F182B"/>
                          <w:sz w:val="12"/>
                        </w:rPr>
                        <w:br/>
                        <w:t>James Hallam Council Guard is a trading name of James Hallam Limited</w:t>
                      </w:r>
                      <w:r>
                        <w:rPr>
                          <w:color w:val="0F182B"/>
                          <w:sz w:val="12"/>
                        </w:rPr>
                        <w:br/>
                        <w:t>James Hallam Limited is authorised and regulated by the Financial Conduct Authority</w:t>
                      </w:r>
                      <w:r>
                        <w:rPr>
                          <w:color w:val="0F182B"/>
                          <w:sz w:val="12"/>
                        </w:rPr>
                        <w:br/>
                        <w:t xml:space="preserve">Registration number 134435 </w:t>
                      </w:r>
                    </w:p>
                  </w:tc>
                </w:tr>
              </w:tbl>
              <w:p w14:paraId="55081F84" w14:textId="77777777" w:rsidR="000F4208" w:rsidRDefault="000F4208">
                <w:pPr>
                  <w:rPr>
                    <w:sz w:val="22"/>
                  </w:rPr>
                </w:pPr>
              </w:p>
            </w:txbxContent>
          </v:textbox>
          <w10:wrap type="topAndBottom" anchorx="page" anchory="page"/>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FFD5" w14:textId="77777777" w:rsidR="000F4208" w:rsidRDefault="000F636F">
    <w:pPr>
      <w:pStyle w:val="NormalWeb"/>
      <w:rPr>
        <w:sz w:val="2"/>
      </w:rPr>
    </w:pPr>
    <w:r>
      <w:rPr>
        <w:sz w:val="2"/>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93101" w14:textId="77777777" w:rsidR="000F636F" w:rsidRDefault="000F636F">
      <w:r>
        <w:separator/>
      </w:r>
    </w:p>
  </w:footnote>
  <w:footnote w:type="continuationSeparator" w:id="0">
    <w:p w14:paraId="59B3591D" w14:textId="77777777" w:rsidR="000F636F" w:rsidRDefault="000F6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3F2B3" w14:textId="77777777" w:rsidR="000F4208" w:rsidRDefault="000F636F">
    <w:pPr>
      <w:pStyle w:val="NormalWeb"/>
      <w:spacing w:before="40" w:after="60"/>
      <w:ind w:right="-1134"/>
      <w:jc w:val="right"/>
      <w:rPr>
        <w:sz w:val="22"/>
      </w:rPr>
    </w:pPr>
    <w:r>
      <w:rPr>
        <w:noProof/>
        <w:sz w:val="22"/>
      </w:rPr>
      <w:drawing>
        <wp:inline distT="0" distB="0" distL="0" distR="0" wp14:anchorId="275762DB" wp14:editId="5E784087">
          <wp:extent cx="2599525" cy="798830"/>
          <wp:effectExtent l="0" t="0" r="0" b="0"/>
          <wp:docPr id="100003" name="Picture 100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3" name=""/>
                  <pic:cNvPicPr>
                    <a:picLocks/>
                  </pic:cNvPicPr>
                </pic:nvPicPr>
                <pic:blipFill>
                  <a:blip r:embed="rId1"/>
                  <a:stretch>
                    <a:fillRect/>
                  </a:stretch>
                </pic:blipFill>
                <pic:spPr>
                  <a:xfrm>
                    <a:off x="0" y="0"/>
                    <a:ext cx="2599525" cy="798830"/>
                  </a:xfrm>
                  <a:prstGeom prst="rect">
                    <a:avLst/>
                  </a:prstGeom>
                </pic:spPr>
              </pic:pic>
            </a:graphicData>
          </a:graphic>
        </wp:inline>
      </w:drawing>
    </w:r>
  </w:p>
  <w:p w14:paraId="71D27A04" w14:textId="77777777" w:rsidR="000F4208" w:rsidRDefault="000F4208">
    <w:pPr>
      <w:pStyle w:val="NormalWe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750C4" w14:textId="77777777" w:rsidR="000F4208" w:rsidRDefault="000F636F">
    <w:pPr>
      <w:pStyle w:val="NormalWeb"/>
      <w:rPr>
        <w:sz w:val="2"/>
      </w:rPr>
    </w:pPr>
    <w:r>
      <w:rPr>
        <w:sz w:val="2"/>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0"/>
        </w:tabs>
        <w:ind w:left="720" w:hanging="360"/>
      </w:pPr>
      <w:rPr>
        <w:rFonts w:ascii="Arial" w:eastAsia="Arial" w:hAnsi="Arial" w:cs="Arial"/>
        <w:b/>
        <w:sz w:val="20"/>
      </w:rPr>
    </w:lvl>
    <w:lvl w:ilvl="1">
      <w:start w:val="1"/>
      <w:numFmt w:val="lowerLetter"/>
      <w:lvlText w:val="%2."/>
      <w:lvlJc w:val="left"/>
      <w:pPr>
        <w:tabs>
          <w:tab w:val="num" w:pos="1440"/>
        </w:tabs>
        <w:ind w:left="1440" w:hanging="360"/>
      </w:pPr>
      <w:rPr>
        <w:sz w:val="24"/>
      </w:rPr>
    </w:lvl>
    <w:lvl w:ilvl="2">
      <w:start w:val="1"/>
      <w:numFmt w:val="lowerRoman"/>
      <w:lvlText w:val="%3."/>
      <w:lvlJc w:val="left"/>
      <w:pPr>
        <w:tabs>
          <w:tab w:val="num" w:pos="2160"/>
        </w:tabs>
        <w:ind w:left="2160" w:hanging="360"/>
      </w:pPr>
      <w:rPr>
        <w:sz w:val="24"/>
      </w:rPr>
    </w:lvl>
    <w:lvl w:ilvl="3">
      <w:start w:val="1"/>
      <w:numFmt w:val="decimal"/>
      <w:lvlText w:val="%4."/>
      <w:lvlJc w:val="left"/>
      <w:pPr>
        <w:tabs>
          <w:tab w:val="num" w:pos="2880"/>
        </w:tabs>
        <w:ind w:left="2880" w:hanging="360"/>
      </w:pPr>
      <w:rPr>
        <w:sz w:val="24"/>
      </w:rPr>
    </w:lvl>
    <w:lvl w:ilvl="4">
      <w:start w:val="1"/>
      <w:numFmt w:val="lowerLetter"/>
      <w:lvlText w:val="%5."/>
      <w:lvlJc w:val="left"/>
      <w:pPr>
        <w:tabs>
          <w:tab w:val="num" w:pos="3600"/>
        </w:tabs>
        <w:ind w:left="3600" w:hanging="360"/>
      </w:pPr>
      <w:rPr>
        <w:sz w:val="24"/>
      </w:rPr>
    </w:lvl>
    <w:lvl w:ilvl="5">
      <w:start w:val="1"/>
      <w:numFmt w:val="lowerRoman"/>
      <w:lvlText w:val="%6."/>
      <w:lvlJc w:val="left"/>
      <w:pPr>
        <w:tabs>
          <w:tab w:val="num" w:pos="4320"/>
        </w:tabs>
        <w:ind w:left="4320" w:hanging="360"/>
      </w:pPr>
      <w:rPr>
        <w:sz w:val="24"/>
      </w:rPr>
    </w:lvl>
    <w:lvl w:ilvl="6">
      <w:start w:val="1"/>
      <w:numFmt w:val="decimal"/>
      <w:lvlText w:val="%7."/>
      <w:lvlJc w:val="left"/>
      <w:pPr>
        <w:tabs>
          <w:tab w:val="num" w:pos="5040"/>
        </w:tabs>
        <w:ind w:left="5040" w:hanging="360"/>
      </w:pPr>
      <w:rPr>
        <w:sz w:val="24"/>
      </w:rPr>
    </w:lvl>
    <w:lvl w:ilvl="7">
      <w:start w:val="1"/>
      <w:numFmt w:val="lowerLetter"/>
      <w:lvlText w:val="%8."/>
      <w:lvlJc w:val="left"/>
      <w:pPr>
        <w:tabs>
          <w:tab w:val="num" w:pos="5760"/>
        </w:tabs>
        <w:ind w:left="5760" w:hanging="360"/>
      </w:pPr>
      <w:rPr>
        <w:sz w:val="24"/>
      </w:rPr>
    </w:lvl>
    <w:lvl w:ilvl="8">
      <w:start w:val="1"/>
      <w:numFmt w:val="lowerRoman"/>
      <w:lvlText w:val="%9."/>
      <w:lvlJc w:val="left"/>
      <w:pPr>
        <w:tabs>
          <w:tab w:val="num" w:pos="6480"/>
        </w:tabs>
        <w:ind w:left="6480" w:hanging="360"/>
      </w:pPr>
      <w:rPr>
        <w:sz w:val="24"/>
      </w:rPr>
    </w:lvl>
  </w:abstractNum>
  <w:abstractNum w:abstractNumId="1" w15:restartNumberingAfterBreak="0">
    <w:nsid w:val="00000002"/>
    <w:multiLevelType w:val="hybridMultilevel"/>
    <w:tmpl w:val="00000002"/>
    <w:lvl w:ilvl="0" w:tplc="41280C54">
      <w:start w:val="1"/>
      <w:numFmt w:val="bullet"/>
      <w:lvlText w:val=""/>
      <w:lvlJc w:val="left"/>
      <w:pPr>
        <w:tabs>
          <w:tab w:val="num" w:pos="720"/>
        </w:tabs>
        <w:ind w:left="720" w:hanging="360"/>
      </w:pPr>
      <w:rPr>
        <w:rFonts w:ascii="Symbol" w:hAnsi="Symbol"/>
      </w:rPr>
    </w:lvl>
    <w:lvl w:ilvl="1" w:tplc="424E374A">
      <w:start w:val="1"/>
      <w:numFmt w:val="bullet"/>
      <w:lvlText w:val="o"/>
      <w:lvlJc w:val="left"/>
      <w:pPr>
        <w:tabs>
          <w:tab w:val="num" w:pos="1440"/>
        </w:tabs>
        <w:ind w:left="1440" w:hanging="360"/>
      </w:pPr>
      <w:rPr>
        <w:rFonts w:ascii="Courier New" w:hAnsi="Courier New"/>
      </w:rPr>
    </w:lvl>
    <w:lvl w:ilvl="2" w:tplc="7E90C992">
      <w:start w:val="1"/>
      <w:numFmt w:val="bullet"/>
      <w:lvlText w:val=""/>
      <w:lvlJc w:val="left"/>
      <w:pPr>
        <w:tabs>
          <w:tab w:val="num" w:pos="2160"/>
        </w:tabs>
        <w:ind w:left="2160" w:hanging="360"/>
      </w:pPr>
      <w:rPr>
        <w:rFonts w:ascii="Wingdings" w:hAnsi="Wingdings"/>
      </w:rPr>
    </w:lvl>
    <w:lvl w:ilvl="3" w:tplc="87729534">
      <w:start w:val="1"/>
      <w:numFmt w:val="bullet"/>
      <w:lvlText w:val=""/>
      <w:lvlJc w:val="left"/>
      <w:pPr>
        <w:tabs>
          <w:tab w:val="num" w:pos="2880"/>
        </w:tabs>
        <w:ind w:left="2880" w:hanging="360"/>
      </w:pPr>
      <w:rPr>
        <w:rFonts w:ascii="Symbol" w:hAnsi="Symbol"/>
      </w:rPr>
    </w:lvl>
    <w:lvl w:ilvl="4" w:tplc="845647F6">
      <w:start w:val="1"/>
      <w:numFmt w:val="bullet"/>
      <w:lvlText w:val="o"/>
      <w:lvlJc w:val="left"/>
      <w:pPr>
        <w:tabs>
          <w:tab w:val="num" w:pos="3600"/>
        </w:tabs>
        <w:ind w:left="3600" w:hanging="360"/>
      </w:pPr>
      <w:rPr>
        <w:rFonts w:ascii="Courier New" w:hAnsi="Courier New"/>
      </w:rPr>
    </w:lvl>
    <w:lvl w:ilvl="5" w:tplc="1EECA1BA">
      <w:start w:val="1"/>
      <w:numFmt w:val="bullet"/>
      <w:lvlText w:val=""/>
      <w:lvlJc w:val="left"/>
      <w:pPr>
        <w:tabs>
          <w:tab w:val="num" w:pos="4320"/>
        </w:tabs>
        <w:ind w:left="4320" w:hanging="360"/>
      </w:pPr>
      <w:rPr>
        <w:rFonts w:ascii="Wingdings" w:hAnsi="Wingdings"/>
      </w:rPr>
    </w:lvl>
    <w:lvl w:ilvl="6" w:tplc="FC76E7F2">
      <w:start w:val="1"/>
      <w:numFmt w:val="bullet"/>
      <w:lvlText w:val=""/>
      <w:lvlJc w:val="left"/>
      <w:pPr>
        <w:tabs>
          <w:tab w:val="num" w:pos="5040"/>
        </w:tabs>
        <w:ind w:left="5040" w:hanging="360"/>
      </w:pPr>
      <w:rPr>
        <w:rFonts w:ascii="Symbol" w:hAnsi="Symbol"/>
      </w:rPr>
    </w:lvl>
    <w:lvl w:ilvl="7" w:tplc="BA12EF04">
      <w:start w:val="1"/>
      <w:numFmt w:val="bullet"/>
      <w:lvlText w:val="o"/>
      <w:lvlJc w:val="left"/>
      <w:pPr>
        <w:tabs>
          <w:tab w:val="num" w:pos="5760"/>
        </w:tabs>
        <w:ind w:left="5760" w:hanging="360"/>
      </w:pPr>
      <w:rPr>
        <w:rFonts w:ascii="Courier New" w:hAnsi="Courier New"/>
      </w:rPr>
    </w:lvl>
    <w:lvl w:ilvl="8" w:tplc="1C16D0D2">
      <w:start w:val="1"/>
      <w:numFmt w:val="bullet"/>
      <w:lvlText w:val=""/>
      <w:lvlJc w:val="left"/>
      <w:pPr>
        <w:tabs>
          <w:tab w:val="num" w:pos="6480"/>
        </w:tabs>
        <w:ind w:left="6480" w:hanging="360"/>
      </w:pPr>
      <w:rPr>
        <w:rFonts w:ascii="Wingdings" w:hAnsi="Wingdings"/>
      </w:rPr>
    </w:lvl>
  </w:abstractNum>
  <w:num w:numId="1" w16cid:durableId="1563439846">
    <w:abstractNumId w:val="0"/>
  </w:num>
  <w:num w:numId="2" w16cid:durableId="1566531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F4208"/>
    <w:rsid w:val="000F636F"/>
    <w:rsid w:val="00A77B3E"/>
    <w:rsid w:val="00CA2A55"/>
    <w:rsid w:val="00D00F97"/>
    <w:rsid w:val="00E74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0572778"/>
  <w15:docId w15:val="{90935D48-0A9B-4C77-A439-B8BD4650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Arial" w:hAnsi="Arial" w:cs="Arial"/>
      <w:szCs w:val="24"/>
    </w:rPr>
  </w:style>
  <w:style w:type="paragraph" w:styleId="Heading1">
    <w:name w:val="heading 1"/>
    <w:basedOn w:val="Normal"/>
    <w:next w:val="Normal"/>
    <w:qFormat/>
    <w:rsid w:val="00EF7B96"/>
    <w:pPr>
      <w:keepNext/>
      <w:pBdr>
        <w:top w:val="single" w:sz="18" w:space="0" w:color="76923C"/>
        <w:bottom w:val="single" w:sz="18" w:space="0" w:color="76923C"/>
      </w:pBdr>
      <w:spacing w:before="200" w:after="240"/>
      <w:jc w:val="center"/>
      <w:outlineLvl w:val="0"/>
    </w:pPr>
    <w:rPr>
      <w:b/>
      <w:bCs/>
      <w:kern w:val="32"/>
      <w:sz w:val="32"/>
      <w:szCs w:val="32"/>
    </w:rPr>
  </w:style>
  <w:style w:type="paragraph" w:styleId="Heading2">
    <w:name w:val="heading 2"/>
    <w:basedOn w:val="Normal"/>
    <w:next w:val="Normal"/>
    <w:qFormat/>
    <w:rsid w:val="00EF7B96"/>
    <w:pPr>
      <w:keepNext/>
      <w:keepLines/>
      <w:spacing w:before="240" w:after="320"/>
      <w:outlineLvl w:val="1"/>
    </w:pPr>
    <w:rPr>
      <w:b/>
      <w:bCs/>
      <w:iCs/>
      <w:caps/>
      <w:color w:val="76923C"/>
      <w:sz w:val="24"/>
      <w:szCs w:val="28"/>
    </w:rPr>
  </w:style>
  <w:style w:type="paragraph" w:styleId="Heading3">
    <w:name w:val="heading 3"/>
    <w:basedOn w:val="Normal"/>
    <w:next w:val="Normal"/>
    <w:qFormat/>
    <w:rsid w:val="00EF7B96"/>
    <w:pPr>
      <w:keepNext/>
      <w:keepLines/>
      <w:pBdr>
        <w:bottom w:val="single" w:sz="4" w:space="0" w:color="76923C"/>
      </w:pBdr>
      <w:spacing w:before="240" w:after="120"/>
      <w:outlineLvl w:val="2"/>
    </w:pPr>
    <w:rPr>
      <w:b/>
      <w:bCs/>
      <w:szCs w:val="26"/>
    </w:rPr>
  </w:style>
  <w:style w:type="paragraph" w:styleId="Heading4">
    <w:name w:val="heading 4"/>
    <w:basedOn w:val="Normal"/>
    <w:next w:val="Normal"/>
    <w:qFormat/>
    <w:rsid w:val="00EF7B96"/>
    <w:pPr>
      <w:keepNext/>
      <w:keepLines/>
      <w:spacing w:before="240" w:after="120"/>
      <w:outlineLvl w:val="3"/>
    </w:pPr>
    <w:rPr>
      <w:b/>
      <w:bCs/>
      <w:szCs w:val="28"/>
    </w:rPr>
  </w:style>
  <w:style w:type="paragraph" w:styleId="Heading5">
    <w:name w:val="heading 5"/>
    <w:basedOn w:val="Normal"/>
    <w:next w:val="Normal"/>
    <w:qFormat/>
    <w:rsid w:val="00EF7B96"/>
    <w:pPr>
      <w:keepNext/>
      <w:keepLines/>
      <w:spacing w:before="60" w:after="60"/>
      <w:outlineLvl w:val="4"/>
    </w:pPr>
    <w:rPr>
      <w:b/>
      <w:bCs/>
      <w:iCs/>
      <w:szCs w:val="26"/>
    </w:rPr>
  </w:style>
  <w:style w:type="paragraph" w:styleId="Heading6">
    <w:name w:val="heading 6"/>
    <w:basedOn w:val="Normal"/>
    <w:next w:val="Normal"/>
    <w:qFormat/>
    <w:rsid w:val="00EF7B96"/>
    <w:pPr>
      <w:spacing w:before="240" w:beforeAutospacing="1" w:after="60" w:afterAutospacing="1"/>
      <w:outlineLvl w:val="5"/>
    </w:pPr>
    <w:rPr>
      <w:rFonts w:ascii="Times New Roman" w:eastAsia="Times New Roman" w:hAnsi="Times New Roman" w:cs="Times New Roman"/>
      <w:b/>
      <w:bCs/>
      <w:sz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240" w:after="60"/>
      <w:jc w:val="center"/>
      <w:outlineLvl w:val="0"/>
    </w:pPr>
    <w:rPr>
      <w:bCs/>
      <w:kern w:val="28"/>
      <w:sz w:val="56"/>
      <w:szCs w:val="32"/>
    </w:rPr>
  </w:style>
  <w:style w:type="table" w:customStyle="1" w:styleId="TableNormalWeb">
    <w:name w:val="Table Normal (Web)"/>
    <w:basedOn w:val="TableNormal"/>
    <w:tblPr/>
  </w:style>
  <w:style w:type="paragraph" w:styleId="NormalWeb">
    <w:name w:val="Normal (Web)"/>
    <w:basedOn w:val="Normal"/>
    <w:rsid w:val="00EF7B96"/>
  </w:style>
  <w:style w:type="paragraph" w:customStyle="1" w:styleId="pagelandcont">
    <w:name w:val="pagelandcont"/>
    <w:basedOn w:val="NormalWeb"/>
  </w:style>
  <w:style w:type="paragraph" w:customStyle="1" w:styleId="pageportrait">
    <w:name w:val="pageportrait"/>
    <w:basedOn w:val="NormalWeb"/>
  </w:style>
  <w:style w:type="paragraph" w:customStyle="1" w:styleId="pagetoba">
    <w:name w:val="pagetoba"/>
    <w:basedOn w:val="NormalWeb"/>
  </w:style>
  <w:style w:type="paragraph" w:customStyle="1" w:styleId="pagetitle">
    <w:name w:val="pagetitle"/>
    <w:basedOn w:val="NormalWeb"/>
  </w:style>
  <w:style w:type="paragraph" w:customStyle="1" w:styleId="pageland">
    <w:name w:val="pageland"/>
    <w:basedOn w:val="NormalWeb"/>
  </w:style>
  <w:style w:type="paragraph" w:customStyle="1" w:styleId="pagelandtotal">
    <w:name w:val="pagelandtotal"/>
    <w:basedOn w:val="NormalWeb"/>
  </w:style>
  <w:style w:type="paragraph" w:customStyle="1" w:styleId="pageback">
    <w:name w:val="pageback"/>
    <w:basedOn w:val="NormalWeb"/>
  </w:style>
  <w:style w:type="paragraph" w:customStyle="1" w:styleId="pagelandtitle">
    <w:name w:val="pagelandtitle"/>
    <w:basedOn w:val="NormalWeb"/>
  </w:style>
  <w:style w:type="paragraph" w:customStyle="1" w:styleId="pagelandback">
    <w:name w:val="pagelandback"/>
    <w:basedOn w:val="NormalWeb"/>
  </w:style>
  <w:style w:type="paragraph" w:customStyle="1" w:styleId="pageletter">
    <w:name w:val="pageletter"/>
    <w:basedOn w:val="NormalWeb"/>
  </w:style>
  <w:style w:type="paragraph" w:customStyle="1" w:styleId="pagelettercont">
    <w:name w:val="pagelettercont"/>
    <w:basedOn w:val="NormalWeb"/>
  </w:style>
  <w:style w:type="paragraph" w:customStyle="1" w:styleId="anchor">
    <w:name w:val="anchor"/>
    <w:basedOn w:val="NormalWeb"/>
    <w:pPr>
      <w:pBdr>
        <w:top w:val="nil"/>
        <w:left w:val="nil"/>
        <w:bottom w:val="nil"/>
        <w:right w:val="nil"/>
      </w:pBdr>
      <w:spacing w:line="20" w:lineRule="atLeast"/>
    </w:pPr>
    <w:rPr>
      <w:noProof/>
      <w:vanish/>
      <w:color w:val="FFFFFF"/>
      <w:sz w:val="2"/>
    </w:rPr>
  </w:style>
  <w:style w:type="paragraph" w:customStyle="1" w:styleId="minimal">
    <w:name w:val="minimal"/>
    <w:basedOn w:val="NormalWeb"/>
    <w:pPr>
      <w:pBdr>
        <w:top w:val="nil"/>
        <w:left w:val="nil"/>
        <w:bottom w:val="nil"/>
        <w:right w:val="nil"/>
      </w:pBdr>
      <w:spacing w:line="20" w:lineRule="atLeast"/>
    </w:pPr>
    <w:rPr>
      <w:color w:val="FFFFFF"/>
      <w:sz w:val="2"/>
    </w:rPr>
  </w:style>
  <w:style w:type="paragraph" w:customStyle="1" w:styleId="alignleft">
    <w:name w:val="alignleft"/>
    <w:basedOn w:val="NormalWeb"/>
  </w:style>
  <w:style w:type="paragraph" w:customStyle="1" w:styleId="alignright">
    <w:name w:val="alignright"/>
    <w:basedOn w:val="NormalWeb"/>
    <w:pPr>
      <w:jc w:val="right"/>
    </w:pPr>
  </w:style>
  <w:style w:type="paragraph" w:customStyle="1" w:styleId="aligncentre">
    <w:name w:val="aligncentre"/>
    <w:basedOn w:val="NormalWeb"/>
    <w:pPr>
      <w:jc w:val="center"/>
    </w:pPr>
  </w:style>
  <w:style w:type="paragraph" w:customStyle="1" w:styleId="alignjustify">
    <w:name w:val="alignjustify"/>
    <w:basedOn w:val="NormalWeb"/>
    <w:pPr>
      <w:jc w:val="both"/>
    </w:pPr>
  </w:style>
  <w:style w:type="paragraph" w:customStyle="1" w:styleId="allowsplit">
    <w:name w:val="allowsplit"/>
    <w:basedOn w:val="NormalWeb"/>
  </w:style>
  <w:style w:type="paragraph" w:customStyle="1" w:styleId="bordernone">
    <w:name w:val="bordernone"/>
    <w:basedOn w:val="NormalWeb"/>
    <w:pPr>
      <w:pBdr>
        <w:top w:val="nil"/>
        <w:left w:val="nil"/>
        <w:bottom w:val="nil"/>
        <w:right w:val="nil"/>
      </w:pBdr>
    </w:pPr>
  </w:style>
  <w:style w:type="paragraph" w:customStyle="1" w:styleId="structural">
    <w:name w:val="structural"/>
    <w:basedOn w:val="NormalWeb"/>
    <w:pPr>
      <w:pBdr>
        <w:top w:val="nil"/>
        <w:left w:val="nil"/>
        <w:bottom w:val="nil"/>
        <w:right w:val="nil"/>
      </w:pBdr>
    </w:pPr>
  </w:style>
  <w:style w:type="paragraph" w:customStyle="1" w:styleId="borderbottom">
    <w:name w:val="borderbottom"/>
    <w:basedOn w:val="NormalWeb"/>
    <w:pPr>
      <w:pBdr>
        <w:top w:val="nil"/>
        <w:left w:val="nil"/>
        <w:bottom w:val="single" w:sz="6" w:space="0" w:color="000000"/>
        <w:right w:val="nil"/>
      </w:pBdr>
    </w:pPr>
  </w:style>
  <w:style w:type="paragraph" w:customStyle="1" w:styleId="bordertop">
    <w:name w:val="bordertop"/>
    <w:basedOn w:val="NormalWeb"/>
    <w:pPr>
      <w:pBdr>
        <w:top w:val="single" w:sz="6" w:space="0" w:color="000000"/>
        <w:left w:val="nil"/>
        <w:bottom w:val="nil"/>
        <w:right w:val="nil"/>
      </w:pBdr>
    </w:pPr>
  </w:style>
  <w:style w:type="paragraph" w:customStyle="1" w:styleId="borderblack">
    <w:name w:val="borderblack"/>
    <w:basedOn w:val="NormalWeb"/>
    <w:pPr>
      <w:pBdr>
        <w:top w:val="none" w:sz="0" w:space="0" w:color="000000"/>
        <w:left w:val="none" w:sz="0" w:space="0" w:color="000000"/>
        <w:bottom w:val="none" w:sz="0" w:space="0" w:color="000000"/>
        <w:right w:val="none" w:sz="0" w:space="0" w:color="000000"/>
      </w:pBdr>
    </w:pPr>
  </w:style>
  <w:style w:type="paragraph" w:customStyle="1" w:styleId="bordergrey">
    <w:name w:val="bordergrey"/>
    <w:basedOn w:val="NormalWeb"/>
    <w:pPr>
      <w:pBdr>
        <w:top w:val="none" w:sz="0" w:space="0" w:color="999999"/>
        <w:left w:val="none" w:sz="0" w:space="0" w:color="999999"/>
        <w:bottom w:val="none" w:sz="0" w:space="0" w:color="999999"/>
        <w:right w:val="none" w:sz="0" w:space="0" w:color="999999"/>
      </w:pBdr>
    </w:pPr>
  </w:style>
  <w:style w:type="paragraph" w:customStyle="1" w:styleId="keeptogether">
    <w:name w:val="keeptogether"/>
    <w:basedOn w:val="NormalWeb"/>
    <w:pPr>
      <w:keepNext/>
      <w:keepLines/>
      <w:pBdr>
        <w:top w:val="nil"/>
        <w:left w:val="nil"/>
        <w:bottom w:val="nil"/>
        <w:right w:val="nil"/>
      </w:pBdr>
    </w:pPr>
  </w:style>
  <w:style w:type="paragraph" w:customStyle="1" w:styleId="pagebreak">
    <w:name w:val="pagebreak"/>
    <w:basedOn w:val="NormalWeb"/>
    <w:pPr>
      <w:pageBreakBefore/>
    </w:pPr>
  </w:style>
  <w:style w:type="paragraph" w:customStyle="1" w:styleId="sectionbreak">
    <w:name w:val="sectionbreak"/>
    <w:basedOn w:val="NormalWeb"/>
    <w:pPr>
      <w:pageBreakBefore/>
    </w:pPr>
  </w:style>
  <w:style w:type="paragraph" w:customStyle="1" w:styleId="sectionbreaknopagebreak">
    <w:name w:val="sectionbreaknopagebreak"/>
    <w:basedOn w:val="NormalWeb"/>
  </w:style>
  <w:style w:type="paragraph" w:customStyle="1" w:styleId="continuoussectionbreak">
    <w:name w:val="continuoussectionbreak"/>
    <w:basedOn w:val="NormalWeb"/>
  </w:style>
  <w:style w:type="paragraph" w:customStyle="1" w:styleId="backgroundgrey">
    <w:name w:val="backgroundgrey"/>
    <w:basedOn w:val="NormalWeb"/>
    <w:pPr>
      <w:shd w:val="clear" w:color="auto" w:fill="CCCCCC"/>
    </w:pPr>
    <w:rPr>
      <w:highlight w:val="lightGray"/>
    </w:rPr>
  </w:style>
  <w:style w:type="paragraph" w:customStyle="1" w:styleId="likeh1">
    <w:name w:val="likeh1"/>
    <w:basedOn w:val="NormalWeb"/>
    <w:pPr>
      <w:keepNext/>
      <w:pBdr>
        <w:top w:val="single" w:sz="18" w:space="0" w:color="76923C"/>
        <w:bottom w:val="single" w:sz="18" w:space="0" w:color="76923C"/>
      </w:pBdr>
      <w:spacing w:before="200" w:after="240"/>
      <w:jc w:val="center"/>
    </w:pPr>
    <w:rPr>
      <w:b/>
      <w:sz w:val="32"/>
    </w:rPr>
  </w:style>
  <w:style w:type="paragraph" w:customStyle="1" w:styleId="likeh2">
    <w:name w:val="likeh2"/>
    <w:basedOn w:val="NormalWeb"/>
    <w:pPr>
      <w:keepNext/>
      <w:keepLines/>
      <w:spacing w:before="240" w:after="320"/>
    </w:pPr>
    <w:rPr>
      <w:b/>
      <w:caps/>
      <w:color w:val="76923C"/>
      <w:sz w:val="24"/>
    </w:rPr>
  </w:style>
  <w:style w:type="paragraph" w:customStyle="1" w:styleId="likeh3">
    <w:name w:val="likeh3"/>
    <w:basedOn w:val="NormalWeb"/>
    <w:pPr>
      <w:keepNext/>
      <w:keepLines/>
      <w:pBdr>
        <w:bottom w:val="single" w:sz="4" w:space="0" w:color="76923C"/>
      </w:pBdr>
      <w:spacing w:before="240" w:after="120"/>
    </w:pPr>
    <w:rPr>
      <w:b/>
    </w:rPr>
  </w:style>
  <w:style w:type="paragraph" w:customStyle="1" w:styleId="likeh4">
    <w:name w:val="likeh4"/>
    <w:basedOn w:val="NormalWeb"/>
    <w:pPr>
      <w:keepNext/>
      <w:keepLines/>
      <w:spacing w:before="240" w:after="120"/>
    </w:pPr>
    <w:rPr>
      <w:b/>
    </w:rPr>
  </w:style>
  <w:style w:type="paragraph" w:customStyle="1" w:styleId="title1">
    <w:name w:val="title1"/>
    <w:basedOn w:val="NormalWeb"/>
    <w:pPr>
      <w:keepNext/>
      <w:pBdr>
        <w:top w:val="single" w:sz="18" w:space="0" w:color="76923C"/>
        <w:bottom w:val="single" w:sz="18" w:space="0" w:color="76923C"/>
      </w:pBdr>
      <w:spacing w:before="200" w:after="240"/>
      <w:jc w:val="center"/>
    </w:pPr>
    <w:rPr>
      <w:b/>
      <w:sz w:val="32"/>
    </w:rPr>
  </w:style>
  <w:style w:type="paragraph" w:customStyle="1" w:styleId="title2">
    <w:name w:val="title2"/>
    <w:basedOn w:val="NormalWeb"/>
    <w:pPr>
      <w:keepNext/>
      <w:keepLines/>
      <w:spacing w:before="240" w:after="320"/>
    </w:pPr>
    <w:rPr>
      <w:b/>
      <w:caps/>
      <w:color w:val="76923C"/>
      <w:sz w:val="24"/>
    </w:rPr>
  </w:style>
  <w:style w:type="paragraph" w:customStyle="1" w:styleId="title3">
    <w:name w:val="title3"/>
    <w:basedOn w:val="NormalWeb"/>
    <w:pPr>
      <w:keepNext/>
      <w:keepLines/>
      <w:pBdr>
        <w:bottom w:val="single" w:sz="4" w:space="0" w:color="000000"/>
      </w:pBdr>
      <w:spacing w:before="240" w:after="120"/>
    </w:pPr>
    <w:rPr>
      <w:b/>
    </w:rPr>
  </w:style>
  <w:style w:type="paragraph" w:customStyle="1" w:styleId="title5">
    <w:name w:val="title5"/>
    <w:basedOn w:val="NormalWeb"/>
    <w:pPr>
      <w:jc w:val="center"/>
    </w:pPr>
  </w:style>
  <w:style w:type="character" w:customStyle="1" w:styleId="likep">
    <w:name w:val="likep"/>
    <w:basedOn w:val="DefaultParagraphFont"/>
    <w:rPr>
      <w:rFonts w:ascii="Arial" w:eastAsia="Arial" w:hAnsi="Arial" w:cs="Arial"/>
      <w:sz w:val="20"/>
    </w:rPr>
  </w:style>
  <w:style w:type="paragraph" w:customStyle="1" w:styleId="likeh5">
    <w:name w:val="likeh5"/>
    <w:basedOn w:val="NormalWeb"/>
    <w:pPr>
      <w:keepNext/>
      <w:keepLines/>
      <w:spacing w:before="60" w:after="60"/>
    </w:pPr>
    <w:rPr>
      <w:b/>
    </w:rPr>
  </w:style>
  <w:style w:type="paragraph" w:styleId="TOC1">
    <w:name w:val="toc 1"/>
    <w:basedOn w:val="Normal"/>
    <w:next w:val="Normal"/>
    <w:autoRedefine/>
    <w:rsid w:val="00805BCE"/>
    <w:pPr>
      <w:spacing w:before="120"/>
    </w:pPr>
  </w:style>
  <w:style w:type="paragraph" w:styleId="TOC2">
    <w:name w:val="toc 2"/>
    <w:basedOn w:val="Normal"/>
    <w:next w:val="Normal"/>
    <w:autoRedefine/>
    <w:rsid w:val="00805BCE"/>
    <w:pPr>
      <w:spacing w:before="60"/>
      <w:ind w:left="240"/>
    </w:pPr>
  </w:style>
  <w:style w:type="paragraph" w:customStyle="1" w:styleId="SourceStyle">
    <w:name w:val="SourceStyle"/>
    <w:rPr>
      <w:rFonts w:ascii="Arial" w:eastAsia="Arial" w:hAnsi="Arial" w:cs="Arial"/>
    </w:rPr>
  </w:style>
  <w:style w:type="paragraph" w:customStyle="1" w:styleId="BulletList">
    <w:name w:val="BulletList"/>
    <w:rPr>
      <w:rFonts w:ascii="Arial" w:eastAsia="Arial" w:hAnsi="Arial" w:cs="Arial"/>
    </w:rPr>
  </w:style>
  <w:style w:type="paragraph" w:customStyle="1" w:styleId="BulletListNoSpacing">
    <w:name w:val="BulletListNoSpacing"/>
    <w:rPr>
      <w:rFonts w:ascii="Arial" w:eastAsia="Arial" w:hAnsi="Arial" w:cs="Arial"/>
    </w:rPr>
  </w:style>
  <w:style w:type="paragraph" w:customStyle="1" w:styleId="ListParagraph1">
    <w:name w:val="List Paragraph1"/>
    <w:rPr>
      <w:rFonts w:ascii="Arial" w:eastAsia="Arial" w:hAnsi="Arial" w:cs="Arial"/>
    </w:rPr>
  </w:style>
  <w:style w:type="paragraph" w:customStyle="1" w:styleId="numberedlist">
    <w:name w:val="numberedlist"/>
    <w:basedOn w:val="NormalWeb"/>
    <w:pPr>
      <w:ind w:left="357" w:hanging="357"/>
    </w:pPr>
  </w:style>
  <w:style w:type="paragraph" w:customStyle="1" w:styleId="coversummary">
    <w:name w:val="coversummary"/>
    <w:basedOn w:val="NormalWeb"/>
  </w:style>
  <w:style w:type="paragraph" w:customStyle="1" w:styleId="bordernonebold">
    <w:name w:val="bordernonebold"/>
    <w:basedOn w:val="NormalWeb"/>
    <w:pPr>
      <w:pBdr>
        <w:top w:val="nil"/>
        <w:left w:val="nil"/>
        <w:bottom w:val="nil"/>
        <w:right w:val="nil"/>
      </w:pBdr>
    </w:pPr>
    <w:rPr>
      <w:b/>
    </w:rPr>
  </w:style>
  <w:style w:type="paragraph" w:customStyle="1" w:styleId="bordernonealignright">
    <w:name w:val="bordernonealignright"/>
    <w:basedOn w:val="NormalWeb"/>
    <w:pPr>
      <w:pBdr>
        <w:top w:val="nil"/>
        <w:left w:val="nil"/>
        <w:bottom w:val="nil"/>
        <w:right w:val="nil"/>
      </w:pBdr>
      <w:jc w:val="right"/>
    </w:pPr>
  </w:style>
  <w:style w:type="paragraph" w:customStyle="1" w:styleId="pageportraittoba">
    <w:name w:val="pageportraittoba"/>
    <w:basedOn w:val="NormalWeb"/>
  </w:style>
  <w:style w:type="paragraph" w:customStyle="1" w:styleId="footerclass">
    <w:name w:val="footerclass"/>
    <w:basedOn w:val="NormalWeb"/>
  </w:style>
  <w:style w:type="character" w:styleId="Hyperlink">
    <w:name w:val="Hyperlink"/>
    <w:basedOn w:val="DefaultParagraphFont"/>
    <w:rsid w:val="00D00F97"/>
    <w:rPr>
      <w:color w:val="0000FF" w:themeColor="hyperlink"/>
      <w:u w:val="single"/>
    </w:rPr>
  </w:style>
  <w:style w:type="character" w:styleId="UnresolvedMention">
    <w:name w:val="Unresolved Mention"/>
    <w:basedOn w:val="DefaultParagraphFont"/>
    <w:uiPriority w:val="99"/>
    <w:semiHidden/>
    <w:unhideWhenUsed/>
    <w:rsid w:val="00D00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julie.holgate@jameshallam.co.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 Holgate</cp:lastModifiedBy>
  <cp:revision>2</cp:revision>
  <dcterms:created xsi:type="dcterms:W3CDTF">2026-06-03T12:34:00Z</dcterms:created>
  <dcterms:modified xsi:type="dcterms:W3CDTF">2026-06-03T12:34:00Z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_B">
    <vt:lpwstr>0KK7J5hdxPUItsF/B40co82yDmiXRpsvW4VLd7kLxKI=</vt:lpwstr>
  </property>
  <property fmtid="{D5CDD505-2E9C-101B-9397-08002B2CF9AE}" pid="3" name="ACT_DID">
    <vt:lpwstr>1d91a998-ff1f-4808-bf8e-1de4403bf520</vt:lpwstr>
  </property>
  <property fmtid="{D5CDD505-2E9C-101B-9397-08002B2CF9AE}" pid="4" name="ACT_E">
    <vt:lpwstr>17.4.11.3</vt:lpwstr>
  </property>
</Properties>
</file>